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3F84" w14:textId="0A4EAF24" w:rsidR="0023308C" w:rsidRDefault="007120B5" w:rsidP="0023308C">
      <w:r>
        <w:rPr>
          <w:noProof/>
        </w:rPr>
        <w:drawing>
          <wp:anchor distT="0" distB="0" distL="114300" distR="114300" simplePos="0" relativeHeight="251658240" behindDoc="1" locked="0" layoutInCell="1" allowOverlap="1" wp14:anchorId="7A4E916C" wp14:editId="37269130">
            <wp:simplePos x="0" y="0"/>
            <wp:positionH relativeFrom="column">
              <wp:posOffset>0</wp:posOffset>
            </wp:positionH>
            <wp:positionV relativeFrom="paragraph">
              <wp:posOffset>0</wp:posOffset>
            </wp:positionV>
            <wp:extent cx="2647893" cy="956310"/>
            <wp:effectExtent l="0" t="0" r="0" b="0"/>
            <wp:wrapTight wrapText="bothSides">
              <wp:wrapPolygon edited="0">
                <wp:start x="3264" y="1291"/>
                <wp:lineTo x="2021" y="4303"/>
                <wp:lineTo x="1088" y="7315"/>
                <wp:lineTo x="1088" y="10757"/>
                <wp:lineTo x="1710" y="15920"/>
                <wp:lineTo x="3109" y="18502"/>
                <wp:lineTo x="3264" y="19363"/>
                <wp:lineTo x="5440" y="19363"/>
                <wp:lineTo x="13834" y="17211"/>
                <wp:lineTo x="15699" y="15920"/>
                <wp:lineTo x="17408" y="12478"/>
                <wp:lineTo x="17564" y="3873"/>
                <wp:lineTo x="16320" y="3442"/>
                <wp:lineTo x="5596" y="1291"/>
                <wp:lineTo x="3264" y="1291"/>
              </wp:wrapPolygon>
            </wp:wrapTight>
            <wp:docPr id="5516469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46969" name="Graphic 551646969"/>
                    <pic:cNvPicPr/>
                  </pic:nvPicPr>
                  <pic:blipFill rotWithShape="1">
                    <a:blip r:embed="rId5">
                      <a:extLst>
                        <a:ext uri="{96DAC541-7B7A-43D3-8B79-37D633B846F1}">
                          <asvg:svgBlip xmlns:asvg="http://schemas.microsoft.com/office/drawing/2016/SVG/main" r:embed="rId6"/>
                        </a:ext>
                      </a:extLst>
                    </a:blip>
                    <a:srcRect l="12944" t="28331" b="27174"/>
                    <a:stretch>
                      <a:fillRect/>
                    </a:stretch>
                  </pic:blipFill>
                  <pic:spPr bwMode="auto">
                    <a:xfrm>
                      <a:off x="0" y="0"/>
                      <a:ext cx="2647893" cy="956310"/>
                    </a:xfrm>
                    <a:prstGeom prst="rect">
                      <a:avLst/>
                    </a:prstGeom>
                    <a:ln>
                      <a:noFill/>
                    </a:ln>
                    <a:extLst>
                      <a:ext uri="{53640926-AAD7-44D8-BBD7-CCE9431645EC}">
                        <a14:shadowObscured xmlns:a14="http://schemas.microsoft.com/office/drawing/2010/main"/>
                      </a:ext>
                    </a:extLst>
                  </pic:spPr>
                </pic:pic>
              </a:graphicData>
            </a:graphic>
          </wp:anchor>
        </w:drawing>
      </w:r>
    </w:p>
    <w:p w14:paraId="6061CCF2" w14:textId="77777777" w:rsidR="007120B5" w:rsidRDefault="007120B5" w:rsidP="0023308C"/>
    <w:p w14:paraId="5DEA8DCC" w14:textId="77777777" w:rsidR="007120B5" w:rsidRPr="0023308C" w:rsidRDefault="007120B5" w:rsidP="0023308C"/>
    <w:p w14:paraId="794F7760" w14:textId="77777777" w:rsidR="0023308C" w:rsidRPr="0023308C" w:rsidRDefault="00000000" w:rsidP="0023308C">
      <w:r>
        <w:pict w14:anchorId="607F0330">
          <v:rect id="_x0000_i1025" style="width:0;height:1.5pt" o:hralign="center" o:hrstd="t" o:hr="t" fillcolor="#a0a0a0" stroked="f"/>
        </w:pict>
      </w:r>
    </w:p>
    <w:p w14:paraId="78A3A890" w14:textId="77777777" w:rsidR="0023308C" w:rsidRPr="0023308C" w:rsidRDefault="0023308C" w:rsidP="0023308C">
      <w:pPr>
        <w:rPr>
          <w:b/>
          <w:bCs/>
        </w:rPr>
      </w:pPr>
      <w:r w:rsidRPr="0023308C">
        <w:rPr>
          <w:b/>
          <w:bCs/>
        </w:rPr>
        <w:t>ELRIG Access &amp; Participation Policy</w:t>
      </w:r>
    </w:p>
    <w:p w14:paraId="3986A4E8" w14:textId="77777777" w:rsidR="0023308C" w:rsidRPr="0023308C" w:rsidRDefault="0023308C" w:rsidP="0023308C">
      <w:pPr>
        <w:rPr>
          <w:b/>
          <w:bCs/>
        </w:rPr>
      </w:pPr>
      <w:r w:rsidRPr="0023308C">
        <w:rPr>
          <w:b/>
          <w:bCs/>
        </w:rPr>
        <w:t>1. Purpose</w:t>
      </w:r>
    </w:p>
    <w:p w14:paraId="7D713736" w14:textId="3A7BEAC2" w:rsidR="0023308C" w:rsidRPr="0023308C" w:rsidRDefault="0023308C" w:rsidP="0023308C">
      <w:r w:rsidRPr="0023308C">
        <w:t xml:space="preserve">ELRIG </w:t>
      </w:r>
      <w:r>
        <w:t>enables</w:t>
      </w:r>
      <w:r w:rsidRPr="0023308C">
        <w:t xml:space="preserve"> cutting-edge research and innovation by connecting life science professionals through inclusive, free-to-attend scientific conferences, workshops and networking events.</w:t>
      </w:r>
    </w:p>
    <w:p w14:paraId="7B601823" w14:textId="3740475C" w:rsidR="0023308C" w:rsidRPr="0023308C" w:rsidRDefault="0023308C" w:rsidP="0023308C">
      <w:r w:rsidRPr="0023308C">
        <w:t>As a not-for-profit organisation, all revenue generated through sponsorship, exhibition and partnerships is reinvested into delivering high-quality events and supporting the wider life sciences community.</w:t>
      </w:r>
    </w:p>
    <w:p w14:paraId="308AEAEE" w14:textId="1B066022" w:rsidR="0023308C" w:rsidRPr="0023308C" w:rsidRDefault="0023308C" w:rsidP="0023308C">
      <w:r>
        <w:t xml:space="preserve">Our events are generally oversubscribed. </w:t>
      </w:r>
      <w:r w:rsidRPr="0023308C">
        <w:t>This policy explains the principles, criteria and processes used by ELRIG when allocating registration places for events. Its purpose is to ensure that participation decisions are transparent, fair, consistent and aligned with ELRIG’s mission and community values.</w:t>
      </w:r>
    </w:p>
    <w:p w14:paraId="5C637BCF" w14:textId="77777777" w:rsidR="0023308C" w:rsidRPr="0023308C" w:rsidRDefault="00000000" w:rsidP="0023308C">
      <w:r>
        <w:pict w14:anchorId="03AA2401">
          <v:rect id="_x0000_i1026" style="width:0;height:1.5pt" o:hralign="center" o:hrstd="t" o:hr="t" fillcolor="#a0a0a0" stroked="f"/>
        </w:pict>
      </w:r>
    </w:p>
    <w:p w14:paraId="6F919BBF" w14:textId="77777777" w:rsidR="0023308C" w:rsidRPr="0023308C" w:rsidRDefault="0023308C" w:rsidP="0023308C">
      <w:pPr>
        <w:rPr>
          <w:b/>
          <w:bCs/>
        </w:rPr>
      </w:pPr>
      <w:r w:rsidRPr="0023308C">
        <w:rPr>
          <w:b/>
          <w:bCs/>
        </w:rPr>
        <w:t>2. Scope</w:t>
      </w:r>
    </w:p>
    <w:p w14:paraId="4010EFA3" w14:textId="77777777" w:rsidR="0023308C" w:rsidRPr="0023308C" w:rsidRDefault="0023308C" w:rsidP="0023308C">
      <w:r w:rsidRPr="0023308C">
        <w:t>This policy applies to all ELRIG-organised events where attendance is managed through registration and allocation processes, including:</w:t>
      </w:r>
    </w:p>
    <w:p w14:paraId="64C626CA" w14:textId="77777777" w:rsidR="0023308C" w:rsidRPr="0023308C" w:rsidRDefault="0023308C" w:rsidP="0023308C">
      <w:pPr>
        <w:numPr>
          <w:ilvl w:val="0"/>
          <w:numId w:val="3"/>
        </w:numPr>
      </w:pPr>
      <w:r w:rsidRPr="0023308C">
        <w:t xml:space="preserve">Conferences </w:t>
      </w:r>
    </w:p>
    <w:p w14:paraId="20CB06C6" w14:textId="77777777" w:rsidR="0023308C" w:rsidRPr="0023308C" w:rsidRDefault="0023308C" w:rsidP="0023308C">
      <w:pPr>
        <w:numPr>
          <w:ilvl w:val="0"/>
          <w:numId w:val="3"/>
        </w:numPr>
      </w:pPr>
      <w:r w:rsidRPr="0023308C">
        <w:t xml:space="preserve">Scientific meetings </w:t>
      </w:r>
    </w:p>
    <w:p w14:paraId="27CFA948" w14:textId="77777777" w:rsidR="0023308C" w:rsidRPr="0023308C" w:rsidRDefault="0023308C" w:rsidP="0023308C">
      <w:pPr>
        <w:numPr>
          <w:ilvl w:val="0"/>
          <w:numId w:val="3"/>
        </w:numPr>
      </w:pPr>
      <w:r w:rsidRPr="0023308C">
        <w:t xml:space="preserve">Workshops and training events </w:t>
      </w:r>
    </w:p>
    <w:p w14:paraId="07A7903A" w14:textId="199E5EDB" w:rsidR="0023308C" w:rsidRPr="0023308C" w:rsidRDefault="0023308C" w:rsidP="0023308C">
      <w:r w:rsidRPr="0023308C">
        <w:t>It applies to</w:t>
      </w:r>
      <w:r>
        <w:t xml:space="preserve"> g</w:t>
      </w:r>
      <w:r w:rsidRPr="0023308C">
        <w:t>eneral attendee registrations</w:t>
      </w:r>
      <w:r>
        <w:t xml:space="preserve"> and i</w:t>
      </w:r>
      <w:r w:rsidRPr="0023308C">
        <w:t xml:space="preserve">nvited delegate places </w:t>
      </w:r>
    </w:p>
    <w:p w14:paraId="4254AFD3" w14:textId="77777777" w:rsidR="0023308C" w:rsidRPr="0023308C" w:rsidRDefault="00000000" w:rsidP="0023308C">
      <w:r>
        <w:pict w14:anchorId="3133EC7E">
          <v:rect id="_x0000_i1027" style="width:0;height:1.5pt" o:hralign="center" o:hrstd="t" o:hr="t" fillcolor="#a0a0a0" stroked="f"/>
        </w:pict>
      </w:r>
    </w:p>
    <w:p w14:paraId="45EA18AE" w14:textId="77777777" w:rsidR="0023308C" w:rsidRPr="0023308C" w:rsidRDefault="0023308C" w:rsidP="0023308C">
      <w:pPr>
        <w:rPr>
          <w:b/>
          <w:bCs/>
        </w:rPr>
      </w:pPr>
      <w:r w:rsidRPr="0023308C">
        <w:rPr>
          <w:b/>
          <w:bCs/>
        </w:rPr>
        <w:t>3. Guiding Principles</w:t>
      </w:r>
    </w:p>
    <w:p w14:paraId="40C19BAF" w14:textId="77777777" w:rsidR="0023308C" w:rsidRPr="0023308C" w:rsidRDefault="0023308C" w:rsidP="0023308C">
      <w:r w:rsidRPr="0023308C">
        <w:t>Participation and ticket allocation decisions are guided by the following principles:</w:t>
      </w:r>
    </w:p>
    <w:p w14:paraId="5E7E658F" w14:textId="77777777" w:rsidR="0023308C" w:rsidRPr="0023308C" w:rsidRDefault="0023308C" w:rsidP="0023308C">
      <w:pPr>
        <w:rPr>
          <w:b/>
          <w:bCs/>
        </w:rPr>
      </w:pPr>
      <w:r w:rsidRPr="0023308C">
        <w:rPr>
          <w:b/>
          <w:bCs/>
        </w:rPr>
        <w:t>Accessibility and Inclusion</w:t>
      </w:r>
    </w:p>
    <w:p w14:paraId="320B08C0" w14:textId="604C6F91" w:rsidR="0023308C" w:rsidRPr="0023308C" w:rsidRDefault="0023308C" w:rsidP="0023308C">
      <w:r w:rsidRPr="0023308C">
        <w:t xml:space="preserve">ELRIG seeks to make events accessible to a broad and diverse audience across </w:t>
      </w:r>
      <w:r>
        <w:t>biotech and pharma companies</w:t>
      </w:r>
      <w:r w:rsidRPr="0023308C">
        <w:t xml:space="preserve">, CROs, </w:t>
      </w:r>
      <w:r>
        <w:t xml:space="preserve">academia, </w:t>
      </w:r>
      <w:r w:rsidRPr="0023308C">
        <w:t>technology providers and the wider life sciences ecosystem.</w:t>
      </w:r>
    </w:p>
    <w:p w14:paraId="6C5B7382" w14:textId="77777777" w:rsidR="0023308C" w:rsidRPr="0023308C" w:rsidRDefault="0023308C" w:rsidP="0023308C">
      <w:r w:rsidRPr="0023308C">
        <w:lastRenderedPageBreak/>
        <w:t>We aim to support participation from individuals across different:</w:t>
      </w:r>
    </w:p>
    <w:p w14:paraId="0B6B2031" w14:textId="77777777" w:rsidR="0023308C" w:rsidRPr="0023308C" w:rsidRDefault="0023308C" w:rsidP="0023308C">
      <w:pPr>
        <w:numPr>
          <w:ilvl w:val="0"/>
          <w:numId w:val="5"/>
        </w:numPr>
      </w:pPr>
      <w:r w:rsidRPr="0023308C">
        <w:t xml:space="preserve">career stages </w:t>
      </w:r>
    </w:p>
    <w:p w14:paraId="27BEA2E3" w14:textId="77777777" w:rsidR="0023308C" w:rsidRPr="0023308C" w:rsidRDefault="0023308C" w:rsidP="0023308C">
      <w:pPr>
        <w:numPr>
          <w:ilvl w:val="0"/>
          <w:numId w:val="5"/>
        </w:numPr>
      </w:pPr>
      <w:r w:rsidRPr="0023308C">
        <w:t xml:space="preserve">professional backgrounds </w:t>
      </w:r>
    </w:p>
    <w:p w14:paraId="577BA2F3" w14:textId="77777777" w:rsidR="0023308C" w:rsidRPr="0023308C" w:rsidRDefault="0023308C" w:rsidP="0023308C">
      <w:pPr>
        <w:numPr>
          <w:ilvl w:val="0"/>
          <w:numId w:val="5"/>
        </w:numPr>
      </w:pPr>
      <w:r w:rsidRPr="0023308C">
        <w:t xml:space="preserve">sectors </w:t>
      </w:r>
    </w:p>
    <w:p w14:paraId="3D271EDE" w14:textId="77777777" w:rsidR="0023308C" w:rsidRPr="0023308C" w:rsidRDefault="0023308C" w:rsidP="0023308C">
      <w:pPr>
        <w:numPr>
          <w:ilvl w:val="0"/>
          <w:numId w:val="5"/>
        </w:numPr>
      </w:pPr>
      <w:r w:rsidRPr="0023308C">
        <w:t xml:space="preserve">institutions </w:t>
      </w:r>
    </w:p>
    <w:p w14:paraId="20D7F547" w14:textId="77777777" w:rsidR="0023308C" w:rsidRPr="0023308C" w:rsidRDefault="0023308C" w:rsidP="0023308C">
      <w:pPr>
        <w:numPr>
          <w:ilvl w:val="0"/>
          <w:numId w:val="5"/>
        </w:numPr>
      </w:pPr>
      <w:r w:rsidRPr="0023308C">
        <w:t xml:space="preserve">geographic regions </w:t>
      </w:r>
    </w:p>
    <w:p w14:paraId="17E97B57" w14:textId="77777777" w:rsidR="0023308C" w:rsidRPr="0023308C" w:rsidRDefault="0023308C" w:rsidP="0023308C">
      <w:pPr>
        <w:numPr>
          <w:ilvl w:val="0"/>
          <w:numId w:val="5"/>
        </w:numPr>
      </w:pPr>
      <w:r w:rsidRPr="0023308C">
        <w:t xml:space="preserve">lived experiences </w:t>
      </w:r>
    </w:p>
    <w:p w14:paraId="732D6436" w14:textId="77777777" w:rsidR="0023308C" w:rsidRPr="0023308C" w:rsidRDefault="0023308C" w:rsidP="0023308C">
      <w:pPr>
        <w:rPr>
          <w:b/>
          <w:bCs/>
        </w:rPr>
      </w:pPr>
      <w:r w:rsidRPr="0023308C">
        <w:rPr>
          <w:b/>
          <w:bCs/>
        </w:rPr>
        <w:t>Scientific and Community Value</w:t>
      </w:r>
    </w:p>
    <w:p w14:paraId="2F6A60E2" w14:textId="20BE7957" w:rsidR="0023308C" w:rsidRPr="0023308C" w:rsidRDefault="0023308C" w:rsidP="0023308C">
      <w:r w:rsidRPr="0023308C">
        <w:t xml:space="preserve">Attendance should support the exchange of scientific knowledge, innovation, collaboration and professional development in alignment with ELRIG’s </w:t>
      </w:r>
      <w:r>
        <w:t>non-for-</w:t>
      </w:r>
      <w:proofErr w:type="gramStart"/>
      <w:r>
        <w:t xml:space="preserve">profit </w:t>
      </w:r>
      <w:r w:rsidRPr="0023308C">
        <w:t xml:space="preserve"> and</w:t>
      </w:r>
      <w:proofErr w:type="gramEnd"/>
      <w:r w:rsidRPr="0023308C">
        <w:t xml:space="preserve"> educational objectives.</w:t>
      </w:r>
    </w:p>
    <w:p w14:paraId="1F137BEB" w14:textId="77777777" w:rsidR="0023308C" w:rsidRPr="0023308C" w:rsidRDefault="0023308C" w:rsidP="0023308C">
      <w:pPr>
        <w:rPr>
          <w:b/>
          <w:bCs/>
        </w:rPr>
      </w:pPr>
      <w:r w:rsidRPr="0023308C">
        <w:rPr>
          <w:b/>
          <w:bCs/>
        </w:rPr>
        <w:t>Fairness and Transparency</w:t>
      </w:r>
    </w:p>
    <w:p w14:paraId="4985BA97" w14:textId="77777777" w:rsidR="0023308C" w:rsidRPr="0023308C" w:rsidRDefault="0023308C" w:rsidP="0023308C">
      <w:r w:rsidRPr="0023308C">
        <w:t>Registration and allocation decisions are made using consistent and explainable criteria. We aim to communicate decisions clearly and manage registrations in a transparent manner.</w:t>
      </w:r>
    </w:p>
    <w:p w14:paraId="2A5412FD" w14:textId="77777777" w:rsidR="0023308C" w:rsidRPr="0023308C" w:rsidRDefault="0023308C" w:rsidP="0023308C">
      <w:pPr>
        <w:rPr>
          <w:b/>
          <w:bCs/>
        </w:rPr>
      </w:pPr>
      <w:r w:rsidRPr="0023308C">
        <w:rPr>
          <w:b/>
          <w:bCs/>
        </w:rPr>
        <w:t>Community Benefit</w:t>
      </w:r>
    </w:p>
    <w:p w14:paraId="76694F78" w14:textId="77777777" w:rsidR="0023308C" w:rsidRPr="0023308C" w:rsidRDefault="0023308C" w:rsidP="0023308C">
      <w:r w:rsidRPr="0023308C">
        <w:t>ELRIG seeks to maximise value to the broader life sciences community and maintain a collaborative, respectful and welcoming environment at all events.</w:t>
      </w:r>
    </w:p>
    <w:p w14:paraId="411AAD73" w14:textId="77777777" w:rsidR="0023308C" w:rsidRPr="0023308C" w:rsidRDefault="0023308C" w:rsidP="0023308C">
      <w:pPr>
        <w:rPr>
          <w:b/>
          <w:bCs/>
        </w:rPr>
      </w:pPr>
      <w:r w:rsidRPr="0023308C">
        <w:rPr>
          <w:b/>
          <w:bCs/>
        </w:rPr>
        <w:t>Financial Sustainability</w:t>
      </w:r>
    </w:p>
    <w:p w14:paraId="377CDC2F" w14:textId="32CC7884" w:rsidR="0023308C" w:rsidRPr="0023308C" w:rsidRDefault="0023308C" w:rsidP="0023308C">
      <w:r w:rsidRPr="0023308C">
        <w:t xml:space="preserve">As events are free </w:t>
      </w:r>
      <w:r>
        <w:t>to delegates,</w:t>
      </w:r>
      <w:r w:rsidRPr="0023308C">
        <w:t xml:space="preserve"> ELRIG must balance accessibility with responsible event management and long-term sustainability. Sponsorship and exhibitor support play an important role in enabling events to remain accessible.</w:t>
      </w:r>
    </w:p>
    <w:p w14:paraId="4C17D4E2" w14:textId="77777777" w:rsidR="0023308C" w:rsidRPr="0023308C" w:rsidRDefault="0023308C" w:rsidP="0023308C">
      <w:pPr>
        <w:rPr>
          <w:b/>
          <w:bCs/>
        </w:rPr>
      </w:pPr>
      <w:r w:rsidRPr="0023308C">
        <w:rPr>
          <w:b/>
          <w:bCs/>
        </w:rPr>
        <w:t>Independence</w:t>
      </w:r>
    </w:p>
    <w:p w14:paraId="494ECBD3" w14:textId="77777777" w:rsidR="0023308C" w:rsidRPr="0023308C" w:rsidRDefault="0023308C" w:rsidP="0023308C">
      <w:r w:rsidRPr="0023308C">
        <w:t>Allocation decisions will be made free from inappropriate commercial, personal or organisational bias.</w:t>
      </w:r>
    </w:p>
    <w:p w14:paraId="6EEE42CE" w14:textId="77777777" w:rsidR="0023308C" w:rsidRPr="0023308C" w:rsidRDefault="00000000" w:rsidP="0023308C">
      <w:r>
        <w:pict w14:anchorId="3004651B">
          <v:rect id="_x0000_i1028" style="width:0;height:1.5pt" o:hralign="center" o:hrstd="t" o:hr="t" fillcolor="#a0a0a0" stroked="f"/>
        </w:pict>
      </w:r>
    </w:p>
    <w:p w14:paraId="4585BAEB" w14:textId="77777777" w:rsidR="0023308C" w:rsidRPr="0023308C" w:rsidRDefault="0023308C" w:rsidP="0023308C">
      <w:pPr>
        <w:rPr>
          <w:b/>
          <w:bCs/>
        </w:rPr>
      </w:pPr>
      <w:r w:rsidRPr="0023308C">
        <w:rPr>
          <w:b/>
          <w:bCs/>
        </w:rPr>
        <w:t>4. Registration Review and Access Criteria</w:t>
      </w:r>
    </w:p>
    <w:p w14:paraId="36609A5F" w14:textId="77777777" w:rsidR="0023308C" w:rsidRPr="0023308C" w:rsidRDefault="0023308C" w:rsidP="0023308C">
      <w:pPr>
        <w:rPr>
          <w:b/>
          <w:bCs/>
        </w:rPr>
      </w:pPr>
      <w:r w:rsidRPr="0023308C">
        <w:rPr>
          <w:b/>
          <w:bCs/>
        </w:rPr>
        <w:t>4.1 Application Review</w:t>
      </w:r>
    </w:p>
    <w:p w14:paraId="330EEF8D" w14:textId="77777777" w:rsidR="0023308C" w:rsidRPr="0023308C" w:rsidRDefault="0023308C" w:rsidP="0023308C">
      <w:r w:rsidRPr="0023308C">
        <w:t>All registrations are reviewed in accordance with this policy.</w:t>
      </w:r>
    </w:p>
    <w:p w14:paraId="5F08C12C" w14:textId="77777777" w:rsidR="0023308C" w:rsidRPr="0023308C" w:rsidRDefault="0023308C" w:rsidP="0023308C">
      <w:r w:rsidRPr="0023308C">
        <w:t>Applications may be assessed based on factors including:</w:t>
      </w:r>
    </w:p>
    <w:p w14:paraId="6DE7A3BA" w14:textId="77777777" w:rsidR="0023308C" w:rsidRPr="0023308C" w:rsidRDefault="0023308C" w:rsidP="0023308C">
      <w:pPr>
        <w:numPr>
          <w:ilvl w:val="0"/>
          <w:numId w:val="6"/>
        </w:numPr>
      </w:pPr>
      <w:r w:rsidRPr="0023308C">
        <w:lastRenderedPageBreak/>
        <w:t xml:space="preserve">relevance to the event theme or scientific programme </w:t>
      </w:r>
    </w:p>
    <w:p w14:paraId="6A81023D" w14:textId="77777777" w:rsidR="0023308C" w:rsidRPr="0023308C" w:rsidRDefault="0023308C" w:rsidP="0023308C">
      <w:pPr>
        <w:numPr>
          <w:ilvl w:val="0"/>
          <w:numId w:val="6"/>
        </w:numPr>
      </w:pPr>
      <w:r w:rsidRPr="0023308C">
        <w:t xml:space="preserve">professional role or area of work </w:t>
      </w:r>
    </w:p>
    <w:p w14:paraId="723FDF1C" w14:textId="77777777" w:rsidR="0023308C" w:rsidRPr="0023308C" w:rsidRDefault="0023308C" w:rsidP="0023308C">
      <w:pPr>
        <w:numPr>
          <w:ilvl w:val="0"/>
          <w:numId w:val="6"/>
        </w:numPr>
      </w:pPr>
      <w:r w:rsidRPr="0023308C">
        <w:t xml:space="preserve">potential contribution to the event community </w:t>
      </w:r>
    </w:p>
    <w:p w14:paraId="175F262B" w14:textId="77777777" w:rsidR="0023308C" w:rsidRPr="0023308C" w:rsidRDefault="0023308C" w:rsidP="0023308C">
      <w:pPr>
        <w:numPr>
          <w:ilvl w:val="0"/>
          <w:numId w:val="6"/>
        </w:numPr>
      </w:pPr>
      <w:r w:rsidRPr="0023308C">
        <w:t xml:space="preserve">balance across sectors and career stages </w:t>
      </w:r>
    </w:p>
    <w:p w14:paraId="3847EFCD" w14:textId="77777777" w:rsidR="0023308C" w:rsidRPr="0023308C" w:rsidRDefault="0023308C" w:rsidP="0023308C">
      <w:pPr>
        <w:numPr>
          <w:ilvl w:val="0"/>
          <w:numId w:val="6"/>
        </w:numPr>
      </w:pPr>
      <w:r w:rsidRPr="0023308C">
        <w:t xml:space="preserve">institutional and geographic diversity </w:t>
      </w:r>
    </w:p>
    <w:p w14:paraId="7384AC5C" w14:textId="77777777" w:rsidR="00160950" w:rsidRDefault="0023308C" w:rsidP="0023308C">
      <w:pPr>
        <w:numPr>
          <w:ilvl w:val="0"/>
          <w:numId w:val="6"/>
        </w:numPr>
      </w:pPr>
      <w:r w:rsidRPr="0023308C">
        <w:t>available venue capacity</w:t>
      </w:r>
    </w:p>
    <w:p w14:paraId="3AC75D72" w14:textId="5A947926" w:rsidR="0023308C" w:rsidRPr="0023308C" w:rsidRDefault="00BB4932" w:rsidP="0023308C">
      <w:pPr>
        <w:numPr>
          <w:ilvl w:val="0"/>
          <w:numId w:val="6"/>
        </w:numPr>
      </w:pPr>
      <w:r>
        <w:t>previous registration/attendance history</w:t>
      </w:r>
      <w:r w:rsidR="0023308C" w:rsidRPr="0023308C">
        <w:t xml:space="preserve"> </w:t>
      </w:r>
    </w:p>
    <w:p w14:paraId="6158890A" w14:textId="77777777" w:rsidR="0023308C" w:rsidRDefault="0023308C" w:rsidP="0023308C"/>
    <w:p w14:paraId="0D58AD51" w14:textId="1E901A7E" w:rsidR="0023308C" w:rsidRPr="0023308C" w:rsidRDefault="0023308C" w:rsidP="0023308C">
      <w:r w:rsidRPr="0023308C">
        <w:t>Registration outcomes will be communicated in line with the timelines stated in the registration confirmation process.</w:t>
      </w:r>
      <w:r>
        <w:t xml:space="preserve"> Typically, applications will be processed in batches – there is an element of ‘first-come first-served’</w:t>
      </w:r>
      <w:r w:rsidR="00304C1E">
        <w:t>, but ELRIG reserves the right to defer registration outcomes to balance the participation at the event (see below)</w:t>
      </w:r>
    </w:p>
    <w:p w14:paraId="1DFDBA2B" w14:textId="77777777" w:rsidR="0023308C" w:rsidRPr="0023308C" w:rsidRDefault="00000000" w:rsidP="0023308C">
      <w:r>
        <w:pict w14:anchorId="33A793A7">
          <v:rect id="_x0000_i1029" style="width:0;height:1.5pt" o:hralign="center" o:hrstd="t" o:hr="t" fillcolor="#a0a0a0" stroked="f"/>
        </w:pict>
      </w:r>
    </w:p>
    <w:p w14:paraId="5CB67010" w14:textId="1FD5A22A" w:rsidR="00304C1E" w:rsidRPr="0023308C" w:rsidRDefault="00304C1E" w:rsidP="00304C1E">
      <w:pPr>
        <w:rPr>
          <w:b/>
          <w:bCs/>
        </w:rPr>
      </w:pPr>
      <w:r w:rsidRPr="0023308C">
        <w:rPr>
          <w:b/>
          <w:bCs/>
        </w:rPr>
        <w:t>4.</w:t>
      </w:r>
      <w:r>
        <w:rPr>
          <w:b/>
          <w:bCs/>
        </w:rPr>
        <w:t>2</w:t>
      </w:r>
      <w:r w:rsidRPr="0023308C">
        <w:rPr>
          <w:b/>
          <w:bCs/>
        </w:rPr>
        <w:t xml:space="preserve"> Balanced Participation</w:t>
      </w:r>
    </w:p>
    <w:p w14:paraId="5DF5F665" w14:textId="77777777" w:rsidR="00304C1E" w:rsidRPr="0023308C" w:rsidRDefault="00304C1E" w:rsidP="00304C1E">
      <w:r w:rsidRPr="0023308C">
        <w:t>ELRIG aims to maintain an appropriate balance of:</w:t>
      </w:r>
    </w:p>
    <w:p w14:paraId="4050928A" w14:textId="77777777" w:rsidR="00304C1E" w:rsidRPr="0023308C" w:rsidRDefault="00304C1E" w:rsidP="00304C1E">
      <w:pPr>
        <w:numPr>
          <w:ilvl w:val="0"/>
          <w:numId w:val="8"/>
        </w:numPr>
      </w:pPr>
      <w:r w:rsidRPr="0023308C">
        <w:t xml:space="preserve">industry scientists </w:t>
      </w:r>
    </w:p>
    <w:p w14:paraId="3FFA5FB3" w14:textId="77777777" w:rsidR="00304C1E" w:rsidRPr="0023308C" w:rsidRDefault="00304C1E" w:rsidP="00304C1E">
      <w:pPr>
        <w:numPr>
          <w:ilvl w:val="0"/>
          <w:numId w:val="8"/>
        </w:numPr>
      </w:pPr>
      <w:r w:rsidRPr="0023308C">
        <w:t xml:space="preserve">academic researchers </w:t>
      </w:r>
    </w:p>
    <w:p w14:paraId="52AE941C" w14:textId="77777777" w:rsidR="00304C1E" w:rsidRPr="0023308C" w:rsidRDefault="00304C1E" w:rsidP="00304C1E">
      <w:pPr>
        <w:numPr>
          <w:ilvl w:val="0"/>
          <w:numId w:val="8"/>
        </w:numPr>
      </w:pPr>
      <w:r w:rsidRPr="0023308C">
        <w:t xml:space="preserve">early-career professionals </w:t>
      </w:r>
    </w:p>
    <w:p w14:paraId="0E74DE41" w14:textId="77777777" w:rsidR="00304C1E" w:rsidRPr="0023308C" w:rsidRDefault="00304C1E" w:rsidP="00304C1E">
      <w:pPr>
        <w:numPr>
          <w:ilvl w:val="0"/>
          <w:numId w:val="8"/>
        </w:numPr>
      </w:pPr>
      <w:r w:rsidRPr="0023308C">
        <w:t xml:space="preserve">technology providers </w:t>
      </w:r>
    </w:p>
    <w:p w14:paraId="347F1332" w14:textId="77777777" w:rsidR="00304C1E" w:rsidRPr="0023308C" w:rsidRDefault="00304C1E" w:rsidP="00304C1E">
      <w:pPr>
        <w:numPr>
          <w:ilvl w:val="0"/>
          <w:numId w:val="8"/>
        </w:numPr>
      </w:pPr>
      <w:r w:rsidRPr="0023308C">
        <w:t xml:space="preserve">sponsors and exhibitors </w:t>
      </w:r>
    </w:p>
    <w:p w14:paraId="0A1025C2" w14:textId="77777777" w:rsidR="00304C1E" w:rsidRPr="0023308C" w:rsidRDefault="00304C1E" w:rsidP="00304C1E">
      <w:pPr>
        <w:numPr>
          <w:ilvl w:val="0"/>
          <w:numId w:val="8"/>
        </w:numPr>
      </w:pPr>
      <w:r w:rsidRPr="0023308C">
        <w:t xml:space="preserve">collaborators and partners </w:t>
      </w:r>
    </w:p>
    <w:p w14:paraId="2885269F" w14:textId="77777777" w:rsidR="00304C1E" w:rsidRPr="0023308C" w:rsidRDefault="00304C1E" w:rsidP="00304C1E">
      <w:r w:rsidRPr="0023308C">
        <w:t>This helps ensure productive scientific exchange and broad community benefit.</w:t>
      </w:r>
    </w:p>
    <w:p w14:paraId="17275C82" w14:textId="77777777" w:rsidR="00304C1E" w:rsidRPr="0023308C" w:rsidRDefault="00000000" w:rsidP="00304C1E">
      <w:r>
        <w:pict w14:anchorId="16AF4352">
          <v:rect id="_x0000_i1030" style="width:0;height:1.5pt" o:hralign="center" o:hrstd="t" o:hr="t" fillcolor="#a0a0a0" stroked="f"/>
        </w:pict>
      </w:r>
    </w:p>
    <w:p w14:paraId="29DBD0E0" w14:textId="5BCE0B4A" w:rsidR="0023308C" w:rsidRPr="0023308C" w:rsidRDefault="0023308C" w:rsidP="0023308C">
      <w:pPr>
        <w:rPr>
          <w:b/>
          <w:bCs/>
        </w:rPr>
      </w:pPr>
      <w:r w:rsidRPr="0023308C">
        <w:rPr>
          <w:b/>
          <w:bCs/>
        </w:rPr>
        <w:t>4.</w:t>
      </w:r>
      <w:r w:rsidR="00304C1E">
        <w:rPr>
          <w:b/>
          <w:bCs/>
        </w:rPr>
        <w:t>3</w:t>
      </w:r>
      <w:r w:rsidRPr="0023308C">
        <w:rPr>
          <w:b/>
          <w:bCs/>
        </w:rPr>
        <w:t xml:space="preserve"> Capacity Management</w:t>
      </w:r>
    </w:p>
    <w:p w14:paraId="70E8DF43" w14:textId="77777777" w:rsidR="0023308C" w:rsidRPr="0023308C" w:rsidRDefault="0023308C" w:rsidP="0023308C">
      <w:r w:rsidRPr="0023308C">
        <w:t>All ELRIG events operate on a capacity-limited basis.</w:t>
      </w:r>
    </w:p>
    <w:p w14:paraId="30CA0EE4" w14:textId="77777777" w:rsidR="0023308C" w:rsidRPr="0023308C" w:rsidRDefault="0023308C" w:rsidP="0023308C">
      <w:r w:rsidRPr="0023308C">
        <w:t>Once capacity has been reached, additional applicants may:</w:t>
      </w:r>
    </w:p>
    <w:p w14:paraId="52AA1CEA" w14:textId="77777777" w:rsidR="0023308C" w:rsidRPr="0023308C" w:rsidRDefault="0023308C" w:rsidP="0023308C">
      <w:pPr>
        <w:numPr>
          <w:ilvl w:val="0"/>
          <w:numId w:val="7"/>
        </w:numPr>
      </w:pPr>
      <w:r w:rsidRPr="0023308C">
        <w:t xml:space="preserve">be placed on a waiting list </w:t>
      </w:r>
    </w:p>
    <w:p w14:paraId="63241FE9" w14:textId="77777777" w:rsidR="0023308C" w:rsidRPr="0023308C" w:rsidRDefault="0023308C" w:rsidP="0023308C">
      <w:pPr>
        <w:numPr>
          <w:ilvl w:val="0"/>
          <w:numId w:val="7"/>
        </w:numPr>
      </w:pPr>
      <w:r w:rsidRPr="0023308C">
        <w:t xml:space="preserve">receive deferred confirmation </w:t>
      </w:r>
    </w:p>
    <w:p w14:paraId="7BE924DA" w14:textId="77777777" w:rsidR="0023308C" w:rsidRPr="0023308C" w:rsidRDefault="0023308C" w:rsidP="0023308C">
      <w:pPr>
        <w:numPr>
          <w:ilvl w:val="0"/>
          <w:numId w:val="7"/>
        </w:numPr>
      </w:pPr>
      <w:r w:rsidRPr="0023308C">
        <w:t xml:space="preserve">or be declined where no further capacity is available </w:t>
      </w:r>
    </w:p>
    <w:p w14:paraId="3A37BF06" w14:textId="77777777" w:rsidR="0023308C" w:rsidRPr="0023308C" w:rsidRDefault="0023308C" w:rsidP="0023308C">
      <w:r w:rsidRPr="0023308C">
        <w:lastRenderedPageBreak/>
        <w:t>Ticket allocation may be adjusted closer to the event date to optimise attendance and maintain appropriate balance across attendee groups.</w:t>
      </w:r>
    </w:p>
    <w:p w14:paraId="07A81E87" w14:textId="77777777" w:rsidR="0023308C" w:rsidRPr="0023308C" w:rsidRDefault="00000000" w:rsidP="0023308C">
      <w:r>
        <w:pict w14:anchorId="3ED83526">
          <v:rect id="_x0000_i1031" style="width:0;height:1.5pt" o:hralign="center" o:hrstd="t" o:hr="t" fillcolor="#a0a0a0" stroked="f"/>
        </w:pict>
      </w:r>
    </w:p>
    <w:p w14:paraId="26BCE30A" w14:textId="77777777" w:rsidR="0023308C" w:rsidRPr="0023308C" w:rsidRDefault="0023308C" w:rsidP="0023308C">
      <w:pPr>
        <w:rPr>
          <w:b/>
          <w:bCs/>
        </w:rPr>
      </w:pPr>
      <w:r w:rsidRPr="0023308C">
        <w:rPr>
          <w:b/>
          <w:bCs/>
        </w:rPr>
        <w:t>4.4 Commercial Attendees (Non-Exhibitors)</w:t>
      </w:r>
    </w:p>
    <w:p w14:paraId="375EBE7D" w14:textId="77777777" w:rsidR="0023308C" w:rsidRPr="0023308C" w:rsidRDefault="0023308C" w:rsidP="0023308C">
      <w:r w:rsidRPr="0023308C">
        <w:t>Commercial attendees who are not participating as exhibitors or sponsors may be:</w:t>
      </w:r>
    </w:p>
    <w:p w14:paraId="48BEA2AB" w14:textId="77777777" w:rsidR="0023308C" w:rsidRPr="0023308C" w:rsidRDefault="0023308C" w:rsidP="0023308C">
      <w:pPr>
        <w:numPr>
          <w:ilvl w:val="0"/>
          <w:numId w:val="9"/>
        </w:numPr>
      </w:pPr>
      <w:r w:rsidRPr="0023308C">
        <w:t xml:space="preserve">placed on a waiting list until closer to the event date </w:t>
      </w:r>
    </w:p>
    <w:p w14:paraId="54734B1E" w14:textId="77777777" w:rsidR="0023308C" w:rsidRPr="0023308C" w:rsidRDefault="0023308C" w:rsidP="0023308C">
      <w:pPr>
        <w:numPr>
          <w:ilvl w:val="0"/>
          <w:numId w:val="9"/>
        </w:numPr>
      </w:pPr>
      <w:r w:rsidRPr="0023308C">
        <w:t xml:space="preserve">encouraged to participate through sponsorship or exhibition opportunities where appropriate </w:t>
      </w:r>
    </w:p>
    <w:p w14:paraId="6615A54C" w14:textId="11771B0D" w:rsidR="0023308C" w:rsidRPr="0023308C" w:rsidRDefault="00304C1E" w:rsidP="0023308C">
      <w:r>
        <w:t>Where places are available, p</w:t>
      </w:r>
      <w:r w:rsidR="0023308C" w:rsidRPr="0023308C">
        <w:t>riority may be given to organisations that have supported ELRIG through sponsorship, exhibition or partnership activity within the previous 12 months.</w:t>
      </w:r>
    </w:p>
    <w:p w14:paraId="677347EC" w14:textId="77777777" w:rsidR="0023308C" w:rsidRPr="0023308C" w:rsidRDefault="00000000" w:rsidP="0023308C">
      <w:r>
        <w:pict w14:anchorId="350A54BC">
          <v:rect id="_x0000_i1032" style="width:0;height:1.5pt" o:hralign="center" o:hrstd="t" o:hr="t" fillcolor="#a0a0a0" stroked="f"/>
        </w:pict>
      </w:r>
    </w:p>
    <w:p w14:paraId="4C9B177A" w14:textId="77777777" w:rsidR="0023308C" w:rsidRPr="0023308C" w:rsidRDefault="0023308C" w:rsidP="0023308C">
      <w:pPr>
        <w:rPr>
          <w:b/>
          <w:bCs/>
        </w:rPr>
      </w:pPr>
      <w:r w:rsidRPr="0023308C">
        <w:rPr>
          <w:b/>
          <w:bCs/>
        </w:rPr>
        <w:t>4.5 Exhibitor and Sponsor Access</w:t>
      </w:r>
    </w:p>
    <w:p w14:paraId="74E08EFD" w14:textId="77777777" w:rsidR="0023308C" w:rsidRPr="0023308C" w:rsidRDefault="0023308C" w:rsidP="0023308C">
      <w:r w:rsidRPr="0023308C">
        <w:t>Tickets allocated to exhibitors, sponsors and partners will be managed through the relevant sponsorship or exhibitor agreements and registration processes.</w:t>
      </w:r>
    </w:p>
    <w:p w14:paraId="65DA80C9" w14:textId="77777777" w:rsidR="0023308C" w:rsidRPr="0023308C" w:rsidRDefault="00000000" w:rsidP="0023308C">
      <w:r>
        <w:pict w14:anchorId="68616F76">
          <v:rect id="_x0000_i1033" style="width:0;height:1.5pt" o:hralign="center" o:hrstd="t" o:hr="t" fillcolor="#a0a0a0" stroked="f"/>
        </w:pict>
      </w:r>
    </w:p>
    <w:p w14:paraId="37E37ECA" w14:textId="67B1895C" w:rsidR="0023308C" w:rsidRPr="0023308C" w:rsidRDefault="0023308C" w:rsidP="0023308C">
      <w:pPr>
        <w:rPr>
          <w:b/>
          <w:bCs/>
        </w:rPr>
      </w:pPr>
      <w:r w:rsidRPr="0023308C">
        <w:rPr>
          <w:b/>
          <w:bCs/>
        </w:rPr>
        <w:t>4.</w:t>
      </w:r>
      <w:r w:rsidR="00304C1E">
        <w:rPr>
          <w:b/>
          <w:bCs/>
        </w:rPr>
        <w:t>6</w:t>
      </w:r>
      <w:r w:rsidRPr="0023308C">
        <w:rPr>
          <w:b/>
          <w:bCs/>
        </w:rPr>
        <w:t xml:space="preserve"> Early-Career and Diversity Support</w:t>
      </w:r>
    </w:p>
    <w:p w14:paraId="2D83CA8C" w14:textId="77777777" w:rsidR="0023308C" w:rsidRPr="0023308C" w:rsidRDefault="0023308C" w:rsidP="0023308C">
      <w:r w:rsidRPr="0023308C">
        <w:t>ELRIG may reserve places to support:</w:t>
      </w:r>
    </w:p>
    <w:p w14:paraId="3B3A5A8D" w14:textId="7018F87D" w:rsidR="0023308C" w:rsidRPr="0023308C" w:rsidRDefault="0023308C" w:rsidP="00304C1E">
      <w:pPr>
        <w:numPr>
          <w:ilvl w:val="0"/>
          <w:numId w:val="11"/>
        </w:numPr>
      </w:pPr>
      <w:r w:rsidRPr="0023308C">
        <w:t xml:space="preserve">early-career researchers </w:t>
      </w:r>
    </w:p>
    <w:p w14:paraId="48B0B587" w14:textId="77777777" w:rsidR="0023308C" w:rsidRPr="0023308C" w:rsidRDefault="0023308C" w:rsidP="0023308C">
      <w:pPr>
        <w:numPr>
          <w:ilvl w:val="0"/>
          <w:numId w:val="11"/>
        </w:numPr>
      </w:pPr>
      <w:r w:rsidRPr="0023308C">
        <w:t xml:space="preserve">individuals from groups currently underrepresented within the life sciences community </w:t>
      </w:r>
    </w:p>
    <w:p w14:paraId="3E30E1DF" w14:textId="77777777" w:rsidR="0023308C" w:rsidRPr="0023308C" w:rsidRDefault="0023308C" w:rsidP="0023308C">
      <w:r w:rsidRPr="0023308C">
        <w:t>This reflects ELRIG’s commitment to inclusion, accessibility and community development.</w:t>
      </w:r>
    </w:p>
    <w:p w14:paraId="0E0A551E" w14:textId="77777777" w:rsidR="0023308C" w:rsidRPr="0023308C" w:rsidRDefault="00000000" w:rsidP="0023308C">
      <w:r>
        <w:pict w14:anchorId="7CB9BE2C">
          <v:rect id="_x0000_i1034" style="width:0;height:1.5pt" o:hralign="center" o:hrstd="t" o:hr="t" fillcolor="#a0a0a0" stroked="f"/>
        </w:pict>
      </w:r>
    </w:p>
    <w:p w14:paraId="3D702A27" w14:textId="77777777" w:rsidR="0023308C" w:rsidRPr="0023308C" w:rsidRDefault="0023308C" w:rsidP="0023308C">
      <w:pPr>
        <w:rPr>
          <w:b/>
          <w:bCs/>
        </w:rPr>
      </w:pPr>
      <w:r w:rsidRPr="0023308C">
        <w:rPr>
          <w:b/>
          <w:bCs/>
        </w:rPr>
        <w:t>5. Decision-Making Process</w:t>
      </w:r>
    </w:p>
    <w:p w14:paraId="130DF43C" w14:textId="77777777" w:rsidR="0023308C" w:rsidRPr="0023308C" w:rsidRDefault="0023308C" w:rsidP="0023308C">
      <w:pPr>
        <w:rPr>
          <w:b/>
          <w:bCs/>
        </w:rPr>
      </w:pPr>
      <w:r w:rsidRPr="0023308C">
        <w:rPr>
          <w:b/>
          <w:bCs/>
        </w:rPr>
        <w:t>5.1 Oversight</w:t>
      </w:r>
    </w:p>
    <w:p w14:paraId="195F6203" w14:textId="77777777" w:rsidR="0023308C" w:rsidRPr="0023308C" w:rsidRDefault="0023308C" w:rsidP="0023308C">
      <w:r w:rsidRPr="0023308C">
        <w:t>Registration and ticket allocation decisions are overseen by the Event Lead in consultation with the relevant ELRIG organising committee or authorised event team.</w:t>
      </w:r>
    </w:p>
    <w:p w14:paraId="7B3FDA1D" w14:textId="77777777" w:rsidR="0023308C" w:rsidRPr="0023308C" w:rsidRDefault="00000000" w:rsidP="0023308C">
      <w:r>
        <w:pict w14:anchorId="7CC18AC7">
          <v:rect id="_x0000_i1035" style="width:0;height:1.5pt" o:hralign="center" o:hrstd="t" o:hr="t" fillcolor="#a0a0a0" stroked="f"/>
        </w:pict>
      </w:r>
    </w:p>
    <w:p w14:paraId="5B9F803F" w14:textId="77777777" w:rsidR="0023308C" w:rsidRPr="0023308C" w:rsidRDefault="0023308C" w:rsidP="0023308C">
      <w:pPr>
        <w:rPr>
          <w:b/>
          <w:bCs/>
        </w:rPr>
      </w:pPr>
      <w:r w:rsidRPr="0023308C">
        <w:rPr>
          <w:b/>
          <w:bCs/>
        </w:rPr>
        <w:t>5.2 Allocation Review</w:t>
      </w:r>
    </w:p>
    <w:p w14:paraId="1107D884" w14:textId="77777777" w:rsidR="0023308C" w:rsidRPr="0023308C" w:rsidRDefault="0023308C" w:rsidP="0023308C">
      <w:r w:rsidRPr="0023308C">
        <w:lastRenderedPageBreak/>
        <w:t>Registrations may be reviewed periodically throughout the registration cycle, including scheduled reviews prior to the event.</w:t>
      </w:r>
    </w:p>
    <w:p w14:paraId="7509FB71" w14:textId="77777777" w:rsidR="0023308C" w:rsidRPr="0023308C" w:rsidRDefault="0023308C" w:rsidP="0023308C">
      <w:r w:rsidRPr="0023308C">
        <w:t>Where demand exceeds available capacity, allocation decisions may consider:</w:t>
      </w:r>
    </w:p>
    <w:p w14:paraId="1B0026CC" w14:textId="77777777" w:rsidR="0023308C" w:rsidRPr="0023308C" w:rsidRDefault="0023308C" w:rsidP="0023308C">
      <w:pPr>
        <w:numPr>
          <w:ilvl w:val="0"/>
          <w:numId w:val="12"/>
        </w:numPr>
      </w:pPr>
      <w:r w:rsidRPr="0023308C">
        <w:t xml:space="preserve">alignment with event objectives </w:t>
      </w:r>
    </w:p>
    <w:p w14:paraId="6FDD269D" w14:textId="77777777" w:rsidR="0023308C" w:rsidRPr="0023308C" w:rsidRDefault="0023308C" w:rsidP="0023308C">
      <w:pPr>
        <w:numPr>
          <w:ilvl w:val="0"/>
          <w:numId w:val="12"/>
        </w:numPr>
      </w:pPr>
      <w:r w:rsidRPr="0023308C">
        <w:t xml:space="preserve">contribution to scientific discussion or collaboration </w:t>
      </w:r>
    </w:p>
    <w:p w14:paraId="121F5252" w14:textId="77777777" w:rsidR="0023308C" w:rsidRPr="0023308C" w:rsidRDefault="0023308C" w:rsidP="0023308C">
      <w:pPr>
        <w:numPr>
          <w:ilvl w:val="0"/>
          <w:numId w:val="12"/>
        </w:numPr>
      </w:pPr>
      <w:r w:rsidRPr="0023308C">
        <w:t xml:space="preserve">attendee balance across sectors and career stages </w:t>
      </w:r>
    </w:p>
    <w:p w14:paraId="56A5BBE0" w14:textId="77777777" w:rsidR="0023308C" w:rsidRPr="0023308C" w:rsidRDefault="0023308C" w:rsidP="0023308C">
      <w:pPr>
        <w:numPr>
          <w:ilvl w:val="0"/>
          <w:numId w:val="12"/>
        </w:numPr>
      </w:pPr>
      <w:r w:rsidRPr="0023308C">
        <w:t xml:space="preserve">diversity and inclusion considerations </w:t>
      </w:r>
    </w:p>
    <w:p w14:paraId="2F256109" w14:textId="77777777" w:rsidR="0023308C" w:rsidRPr="0023308C" w:rsidRDefault="0023308C" w:rsidP="0023308C">
      <w:pPr>
        <w:numPr>
          <w:ilvl w:val="0"/>
          <w:numId w:val="12"/>
        </w:numPr>
      </w:pPr>
      <w:r w:rsidRPr="0023308C">
        <w:t xml:space="preserve">available venue capacity </w:t>
      </w:r>
    </w:p>
    <w:p w14:paraId="480855E2" w14:textId="77777777" w:rsidR="0023308C" w:rsidRPr="0023308C" w:rsidRDefault="0023308C" w:rsidP="0023308C">
      <w:pPr>
        <w:numPr>
          <w:ilvl w:val="0"/>
          <w:numId w:val="12"/>
        </w:numPr>
      </w:pPr>
      <w:r w:rsidRPr="0023308C">
        <w:t xml:space="preserve">previous participation patterns where relevant </w:t>
      </w:r>
    </w:p>
    <w:p w14:paraId="727F21F7" w14:textId="1830676A" w:rsidR="0023308C" w:rsidRPr="0023308C" w:rsidRDefault="00000000" w:rsidP="0023308C">
      <w:r>
        <w:pict w14:anchorId="20360EF5">
          <v:rect id="_x0000_i1036" style="width:0;height:1.5pt" o:hralign="center" o:hrstd="t" o:hr="t" fillcolor="#a0a0a0" stroked="f"/>
        </w:pict>
      </w:r>
    </w:p>
    <w:p w14:paraId="1246FC5E" w14:textId="77777777" w:rsidR="0023308C" w:rsidRPr="0023308C" w:rsidRDefault="0023308C" w:rsidP="0023308C">
      <w:pPr>
        <w:rPr>
          <w:b/>
          <w:bCs/>
        </w:rPr>
      </w:pPr>
      <w:r w:rsidRPr="0023308C">
        <w:rPr>
          <w:b/>
          <w:bCs/>
        </w:rPr>
        <w:t>6. Conflicts of Interest</w:t>
      </w:r>
    </w:p>
    <w:p w14:paraId="484C4A89" w14:textId="77777777" w:rsidR="0023308C" w:rsidRPr="0023308C" w:rsidRDefault="0023308C" w:rsidP="0023308C">
      <w:r w:rsidRPr="0023308C">
        <w:t>Individuals involved in registration or allocation decisions must declare any personal, professional or financial conflicts of interest.</w:t>
      </w:r>
    </w:p>
    <w:p w14:paraId="31D43FF0" w14:textId="77777777" w:rsidR="0023308C" w:rsidRPr="0023308C" w:rsidRDefault="0023308C" w:rsidP="0023308C">
      <w:r w:rsidRPr="0023308C">
        <w:t>Where a conflict exists, that individual will not participate in the relevant decision-making process.</w:t>
      </w:r>
    </w:p>
    <w:p w14:paraId="36A5AFAE" w14:textId="77777777" w:rsidR="0023308C" w:rsidRPr="0023308C" w:rsidRDefault="00000000" w:rsidP="0023308C">
      <w:r>
        <w:pict w14:anchorId="54E88DE4">
          <v:rect id="_x0000_i1037" style="width:0;height:1.5pt" o:hralign="center" o:hrstd="t" o:hr="t" fillcolor="#a0a0a0" stroked="f"/>
        </w:pict>
      </w:r>
    </w:p>
    <w:p w14:paraId="0D5189B8" w14:textId="77777777" w:rsidR="0023308C" w:rsidRPr="0023308C" w:rsidRDefault="0023308C" w:rsidP="0023308C">
      <w:pPr>
        <w:rPr>
          <w:b/>
          <w:bCs/>
        </w:rPr>
      </w:pPr>
      <w:r w:rsidRPr="0023308C">
        <w:rPr>
          <w:b/>
          <w:bCs/>
        </w:rPr>
        <w:t>7. Record Keeping and Transparency</w:t>
      </w:r>
    </w:p>
    <w:p w14:paraId="0C1D13B7" w14:textId="77777777" w:rsidR="0023308C" w:rsidRPr="0023308C" w:rsidRDefault="0023308C" w:rsidP="0023308C">
      <w:r w:rsidRPr="0023308C">
        <w:t>ELRIG will maintain appropriate records relating to:</w:t>
      </w:r>
    </w:p>
    <w:p w14:paraId="528A0BFA" w14:textId="77777777" w:rsidR="0023308C" w:rsidRPr="0023308C" w:rsidRDefault="0023308C" w:rsidP="0023308C">
      <w:pPr>
        <w:numPr>
          <w:ilvl w:val="0"/>
          <w:numId w:val="14"/>
        </w:numPr>
      </w:pPr>
      <w:r w:rsidRPr="0023308C">
        <w:t xml:space="preserve">complimentary registrations </w:t>
      </w:r>
    </w:p>
    <w:p w14:paraId="14FA4E04" w14:textId="77777777" w:rsidR="0023308C" w:rsidRPr="0023308C" w:rsidRDefault="0023308C" w:rsidP="0023308C">
      <w:pPr>
        <w:numPr>
          <w:ilvl w:val="0"/>
          <w:numId w:val="14"/>
        </w:numPr>
      </w:pPr>
      <w:r w:rsidRPr="0023308C">
        <w:t xml:space="preserve">discretionary allocations </w:t>
      </w:r>
    </w:p>
    <w:p w14:paraId="618F9AE9" w14:textId="77777777" w:rsidR="0023308C" w:rsidRPr="0023308C" w:rsidRDefault="0023308C" w:rsidP="0023308C">
      <w:pPr>
        <w:numPr>
          <w:ilvl w:val="0"/>
          <w:numId w:val="14"/>
        </w:numPr>
      </w:pPr>
      <w:r w:rsidRPr="0023308C">
        <w:t xml:space="preserve">sponsor and exhibitor allocations </w:t>
      </w:r>
    </w:p>
    <w:p w14:paraId="5D36C3F8" w14:textId="77777777" w:rsidR="0023308C" w:rsidRPr="0023308C" w:rsidRDefault="0023308C" w:rsidP="0023308C">
      <w:pPr>
        <w:numPr>
          <w:ilvl w:val="0"/>
          <w:numId w:val="14"/>
        </w:numPr>
      </w:pPr>
      <w:r w:rsidRPr="0023308C">
        <w:t xml:space="preserve">waiting list management where applicable </w:t>
      </w:r>
    </w:p>
    <w:p w14:paraId="1908ED71" w14:textId="77777777" w:rsidR="0023308C" w:rsidRPr="0023308C" w:rsidRDefault="0023308C" w:rsidP="0023308C">
      <w:r w:rsidRPr="0023308C">
        <w:t>Allocation decisions should be documented sufficiently to demonstrate alignment with this policy and support organisational transparency.</w:t>
      </w:r>
    </w:p>
    <w:p w14:paraId="0689D48E" w14:textId="77777777" w:rsidR="0023308C" w:rsidRPr="0023308C" w:rsidRDefault="0023308C" w:rsidP="0023308C">
      <w:r w:rsidRPr="0023308C">
        <w:t>Summary allocation information may be reviewed periodically by ELRIG governance bodies.</w:t>
      </w:r>
    </w:p>
    <w:p w14:paraId="70AC1084" w14:textId="77777777" w:rsidR="0023308C" w:rsidRPr="0023308C" w:rsidRDefault="00000000" w:rsidP="0023308C">
      <w:r>
        <w:pict w14:anchorId="78984934">
          <v:rect id="_x0000_i1038" style="width:0;height:1.5pt" o:hralign="center" o:hrstd="t" o:hr="t" fillcolor="#a0a0a0" stroked="f"/>
        </w:pict>
      </w:r>
    </w:p>
    <w:p w14:paraId="14029C5B" w14:textId="77777777" w:rsidR="0023308C" w:rsidRPr="0023308C" w:rsidRDefault="0023308C" w:rsidP="0023308C">
      <w:pPr>
        <w:rPr>
          <w:b/>
          <w:bCs/>
        </w:rPr>
      </w:pPr>
      <w:r w:rsidRPr="0023308C">
        <w:rPr>
          <w:b/>
          <w:bCs/>
        </w:rPr>
        <w:t>8. Behaviour and Community Expectations</w:t>
      </w:r>
    </w:p>
    <w:p w14:paraId="43350109" w14:textId="77777777" w:rsidR="0023308C" w:rsidRPr="0023308C" w:rsidRDefault="0023308C" w:rsidP="0023308C">
      <w:r w:rsidRPr="0023308C">
        <w:t>All attendees are expected to contribute to a respectful, inclusive and professional environment.</w:t>
      </w:r>
    </w:p>
    <w:p w14:paraId="63759607" w14:textId="77777777" w:rsidR="0023308C" w:rsidRPr="0023308C" w:rsidRDefault="0023308C" w:rsidP="0023308C">
      <w:r w:rsidRPr="0023308C">
        <w:lastRenderedPageBreak/>
        <w:t>ELRIG reserves the right to refuse or revoke attendance where behaviour is inconsistent with:</w:t>
      </w:r>
    </w:p>
    <w:p w14:paraId="310969A1" w14:textId="77777777" w:rsidR="0023308C" w:rsidRPr="0023308C" w:rsidRDefault="0023308C" w:rsidP="0023308C">
      <w:pPr>
        <w:numPr>
          <w:ilvl w:val="0"/>
          <w:numId w:val="15"/>
        </w:numPr>
      </w:pPr>
      <w:r w:rsidRPr="0023308C">
        <w:t xml:space="preserve">event policies </w:t>
      </w:r>
    </w:p>
    <w:p w14:paraId="51260C38" w14:textId="77777777" w:rsidR="0023308C" w:rsidRPr="0023308C" w:rsidRDefault="0023308C" w:rsidP="0023308C">
      <w:pPr>
        <w:numPr>
          <w:ilvl w:val="0"/>
          <w:numId w:val="15"/>
        </w:numPr>
      </w:pPr>
      <w:r w:rsidRPr="0023308C">
        <w:t xml:space="preserve">codes of conduct </w:t>
      </w:r>
    </w:p>
    <w:p w14:paraId="3BAFAC2B" w14:textId="77777777" w:rsidR="0023308C" w:rsidRPr="0023308C" w:rsidRDefault="0023308C" w:rsidP="0023308C">
      <w:pPr>
        <w:numPr>
          <w:ilvl w:val="0"/>
          <w:numId w:val="15"/>
        </w:numPr>
      </w:pPr>
      <w:r w:rsidRPr="0023308C">
        <w:t xml:space="preserve">safeguarding requirements </w:t>
      </w:r>
    </w:p>
    <w:p w14:paraId="5D6CAFB5" w14:textId="77777777" w:rsidR="0023308C" w:rsidRPr="0023308C" w:rsidRDefault="0023308C" w:rsidP="0023308C">
      <w:pPr>
        <w:numPr>
          <w:ilvl w:val="0"/>
          <w:numId w:val="15"/>
        </w:numPr>
      </w:pPr>
      <w:r w:rsidRPr="0023308C">
        <w:t xml:space="preserve">or the wellbeing of attendees and staff </w:t>
      </w:r>
    </w:p>
    <w:p w14:paraId="2D9D9489" w14:textId="77777777" w:rsidR="0023308C" w:rsidRPr="0023308C" w:rsidRDefault="00000000" w:rsidP="0023308C">
      <w:r>
        <w:pict w14:anchorId="053D46E1">
          <v:rect id="_x0000_i1039" style="width:0;height:1.5pt" o:hralign="center" o:hrstd="t" o:hr="t" fillcolor="#a0a0a0" stroked="f"/>
        </w:pict>
      </w:r>
    </w:p>
    <w:p w14:paraId="1158272F" w14:textId="77777777" w:rsidR="0023308C" w:rsidRPr="0023308C" w:rsidRDefault="0023308C" w:rsidP="0023308C">
      <w:pPr>
        <w:rPr>
          <w:b/>
          <w:bCs/>
        </w:rPr>
      </w:pPr>
      <w:r w:rsidRPr="0023308C">
        <w:rPr>
          <w:b/>
          <w:bCs/>
        </w:rPr>
        <w:t>9. Policy Review</w:t>
      </w:r>
    </w:p>
    <w:p w14:paraId="7DE400A0" w14:textId="77777777" w:rsidR="0023308C" w:rsidRPr="0023308C" w:rsidRDefault="0023308C" w:rsidP="0023308C">
      <w:r w:rsidRPr="0023308C">
        <w:t>This policy will be reviewed periodically to ensure continued alignment with:</w:t>
      </w:r>
    </w:p>
    <w:p w14:paraId="2EF8F010" w14:textId="4AB5B07B" w:rsidR="0023308C" w:rsidRPr="0023308C" w:rsidRDefault="0023308C" w:rsidP="0023308C">
      <w:pPr>
        <w:numPr>
          <w:ilvl w:val="0"/>
          <w:numId w:val="16"/>
        </w:numPr>
      </w:pPr>
      <w:r w:rsidRPr="0023308C">
        <w:t xml:space="preserve">ELRIG’s </w:t>
      </w:r>
      <w:r w:rsidR="00304C1E">
        <w:t>non-for-profit</w:t>
      </w:r>
      <w:r w:rsidRPr="0023308C">
        <w:t xml:space="preserve"> and educational objectives </w:t>
      </w:r>
    </w:p>
    <w:p w14:paraId="1F1E6C0F" w14:textId="77777777" w:rsidR="0023308C" w:rsidRPr="0023308C" w:rsidRDefault="0023308C" w:rsidP="0023308C">
      <w:pPr>
        <w:numPr>
          <w:ilvl w:val="0"/>
          <w:numId w:val="16"/>
        </w:numPr>
      </w:pPr>
      <w:r w:rsidRPr="0023308C">
        <w:t xml:space="preserve">community needs </w:t>
      </w:r>
    </w:p>
    <w:p w14:paraId="6D24318C" w14:textId="77777777" w:rsidR="0023308C" w:rsidRPr="0023308C" w:rsidRDefault="0023308C" w:rsidP="0023308C">
      <w:pPr>
        <w:numPr>
          <w:ilvl w:val="0"/>
          <w:numId w:val="16"/>
        </w:numPr>
      </w:pPr>
      <w:r w:rsidRPr="0023308C">
        <w:t xml:space="preserve">operational requirements </w:t>
      </w:r>
    </w:p>
    <w:p w14:paraId="208DA73F" w14:textId="77777777" w:rsidR="0023308C" w:rsidRPr="0023308C" w:rsidRDefault="0023308C" w:rsidP="0023308C">
      <w:pPr>
        <w:numPr>
          <w:ilvl w:val="0"/>
          <w:numId w:val="16"/>
        </w:numPr>
      </w:pPr>
      <w:r w:rsidRPr="0023308C">
        <w:t xml:space="preserve">and recognised best practice in event governance and inclusion </w:t>
      </w:r>
    </w:p>
    <w:p w14:paraId="7555D833" w14:textId="77777777" w:rsidR="0023308C" w:rsidRPr="0023308C" w:rsidRDefault="00000000" w:rsidP="0023308C">
      <w:r>
        <w:pict w14:anchorId="1AD4EA4D">
          <v:rect id="_x0000_i1040" style="width:0;height:1.5pt" o:hralign="center" o:hrstd="t" o:hr="t" fillcolor="#a0a0a0" stroked="f"/>
        </w:pict>
      </w:r>
    </w:p>
    <w:p w14:paraId="050B3119" w14:textId="77777777" w:rsidR="000F657C" w:rsidRDefault="000F657C"/>
    <w:sectPr w:rsidR="000F65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C4F"/>
    <w:multiLevelType w:val="multilevel"/>
    <w:tmpl w:val="2720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62C36"/>
    <w:multiLevelType w:val="multilevel"/>
    <w:tmpl w:val="87F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B6D2E"/>
    <w:multiLevelType w:val="multilevel"/>
    <w:tmpl w:val="BB36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C4B20"/>
    <w:multiLevelType w:val="multilevel"/>
    <w:tmpl w:val="B2C2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B6344"/>
    <w:multiLevelType w:val="multilevel"/>
    <w:tmpl w:val="EA94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A297A"/>
    <w:multiLevelType w:val="multilevel"/>
    <w:tmpl w:val="D238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761FA"/>
    <w:multiLevelType w:val="multilevel"/>
    <w:tmpl w:val="E63E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A4360"/>
    <w:multiLevelType w:val="multilevel"/>
    <w:tmpl w:val="0C76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93642"/>
    <w:multiLevelType w:val="multilevel"/>
    <w:tmpl w:val="9BE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90092"/>
    <w:multiLevelType w:val="multilevel"/>
    <w:tmpl w:val="2AEE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28728D"/>
    <w:multiLevelType w:val="multilevel"/>
    <w:tmpl w:val="C0FE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20D8E"/>
    <w:multiLevelType w:val="multilevel"/>
    <w:tmpl w:val="8172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7F69AB"/>
    <w:multiLevelType w:val="multilevel"/>
    <w:tmpl w:val="1C20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5109DA"/>
    <w:multiLevelType w:val="multilevel"/>
    <w:tmpl w:val="46A4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462A1"/>
    <w:multiLevelType w:val="multilevel"/>
    <w:tmpl w:val="2808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A2068"/>
    <w:multiLevelType w:val="multilevel"/>
    <w:tmpl w:val="F80E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68075">
    <w:abstractNumId w:val="0"/>
  </w:num>
  <w:num w:numId="2" w16cid:durableId="420488674">
    <w:abstractNumId w:val="10"/>
  </w:num>
  <w:num w:numId="3" w16cid:durableId="1854539180">
    <w:abstractNumId w:val="14"/>
  </w:num>
  <w:num w:numId="4" w16cid:durableId="182133315">
    <w:abstractNumId w:val="9"/>
  </w:num>
  <w:num w:numId="5" w16cid:durableId="882212594">
    <w:abstractNumId w:val="1"/>
  </w:num>
  <w:num w:numId="6" w16cid:durableId="252205183">
    <w:abstractNumId w:val="13"/>
  </w:num>
  <w:num w:numId="7" w16cid:durableId="724333372">
    <w:abstractNumId w:val="8"/>
  </w:num>
  <w:num w:numId="8" w16cid:durableId="1173690109">
    <w:abstractNumId w:val="3"/>
  </w:num>
  <w:num w:numId="9" w16cid:durableId="1005551231">
    <w:abstractNumId w:val="2"/>
  </w:num>
  <w:num w:numId="10" w16cid:durableId="252789241">
    <w:abstractNumId w:val="4"/>
  </w:num>
  <w:num w:numId="11" w16cid:durableId="1151678313">
    <w:abstractNumId w:val="5"/>
  </w:num>
  <w:num w:numId="12" w16cid:durableId="2007709999">
    <w:abstractNumId w:val="11"/>
  </w:num>
  <w:num w:numId="13" w16cid:durableId="970089900">
    <w:abstractNumId w:val="15"/>
  </w:num>
  <w:num w:numId="14" w16cid:durableId="1753351697">
    <w:abstractNumId w:val="6"/>
  </w:num>
  <w:num w:numId="15" w16cid:durableId="309601136">
    <w:abstractNumId w:val="12"/>
  </w:num>
  <w:num w:numId="16" w16cid:durableId="412436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8C"/>
    <w:rsid w:val="000D336C"/>
    <w:rsid w:val="000F657C"/>
    <w:rsid w:val="00160950"/>
    <w:rsid w:val="0023308C"/>
    <w:rsid w:val="00304C1E"/>
    <w:rsid w:val="005931A8"/>
    <w:rsid w:val="007120B5"/>
    <w:rsid w:val="00A00FA9"/>
    <w:rsid w:val="00B167C2"/>
    <w:rsid w:val="00BB4932"/>
    <w:rsid w:val="00D1599A"/>
    <w:rsid w:val="00D83654"/>
    <w:rsid w:val="00E415F9"/>
    <w:rsid w:val="00EE5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4671"/>
  <w15:chartTrackingRefBased/>
  <w15:docId w15:val="{80522C9D-C3C9-43A3-AB59-9A037B14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08C"/>
    <w:rPr>
      <w:rFonts w:eastAsiaTheme="majorEastAsia" w:cstheme="majorBidi"/>
      <w:color w:val="272727" w:themeColor="text1" w:themeTint="D8"/>
    </w:rPr>
  </w:style>
  <w:style w:type="paragraph" w:styleId="Title">
    <w:name w:val="Title"/>
    <w:basedOn w:val="Normal"/>
    <w:next w:val="Normal"/>
    <w:link w:val="TitleChar"/>
    <w:uiPriority w:val="10"/>
    <w:qFormat/>
    <w:rsid w:val="00233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08C"/>
    <w:pPr>
      <w:spacing w:before="160"/>
      <w:jc w:val="center"/>
    </w:pPr>
    <w:rPr>
      <w:i/>
      <w:iCs/>
      <w:color w:val="404040" w:themeColor="text1" w:themeTint="BF"/>
    </w:rPr>
  </w:style>
  <w:style w:type="character" w:customStyle="1" w:styleId="QuoteChar">
    <w:name w:val="Quote Char"/>
    <w:basedOn w:val="DefaultParagraphFont"/>
    <w:link w:val="Quote"/>
    <w:uiPriority w:val="29"/>
    <w:rsid w:val="0023308C"/>
    <w:rPr>
      <w:i/>
      <w:iCs/>
      <w:color w:val="404040" w:themeColor="text1" w:themeTint="BF"/>
    </w:rPr>
  </w:style>
  <w:style w:type="paragraph" w:styleId="ListParagraph">
    <w:name w:val="List Paragraph"/>
    <w:basedOn w:val="Normal"/>
    <w:uiPriority w:val="34"/>
    <w:qFormat/>
    <w:rsid w:val="0023308C"/>
    <w:pPr>
      <w:ind w:left="720"/>
      <w:contextualSpacing/>
    </w:pPr>
  </w:style>
  <w:style w:type="character" w:styleId="IntenseEmphasis">
    <w:name w:val="Intense Emphasis"/>
    <w:basedOn w:val="DefaultParagraphFont"/>
    <w:uiPriority w:val="21"/>
    <w:qFormat/>
    <w:rsid w:val="0023308C"/>
    <w:rPr>
      <w:i/>
      <w:iCs/>
      <w:color w:val="0F4761" w:themeColor="accent1" w:themeShade="BF"/>
    </w:rPr>
  </w:style>
  <w:style w:type="paragraph" w:styleId="IntenseQuote">
    <w:name w:val="Intense Quote"/>
    <w:basedOn w:val="Normal"/>
    <w:next w:val="Normal"/>
    <w:link w:val="IntenseQuoteChar"/>
    <w:uiPriority w:val="30"/>
    <w:qFormat/>
    <w:rsid w:val="00233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08C"/>
    <w:rPr>
      <w:i/>
      <w:iCs/>
      <w:color w:val="0F4761" w:themeColor="accent1" w:themeShade="BF"/>
    </w:rPr>
  </w:style>
  <w:style w:type="character" w:styleId="IntenseReference">
    <w:name w:val="Intense Reference"/>
    <w:basedOn w:val="DefaultParagraphFont"/>
    <w:uiPriority w:val="32"/>
    <w:qFormat/>
    <w:rsid w:val="002330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986</Words>
  <Characters>5931</Characters>
  <Application>Microsoft Office Word</Application>
  <DocSecurity>0</DocSecurity>
  <Lines>211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ELRIG Chair</dc:creator>
  <cp:keywords/>
  <dc:description/>
  <cp:lastModifiedBy>Emily Norman</cp:lastModifiedBy>
  <cp:revision>3</cp:revision>
  <dcterms:created xsi:type="dcterms:W3CDTF">2026-06-09T12:29:00Z</dcterms:created>
  <dcterms:modified xsi:type="dcterms:W3CDTF">2026-06-09T12:31:00Z</dcterms:modified>
</cp:coreProperties>
</file>